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9F7397" w14:textId="0A78DF20" w:rsidR="00EC629F" w:rsidRPr="00F16B3D" w:rsidRDefault="00EC629F">
      <w:pPr>
        <w:rPr>
          <w:b/>
          <w:sz w:val="28"/>
          <w:szCs w:val="28"/>
        </w:rPr>
      </w:pPr>
      <w:r w:rsidRPr="00F16B3D">
        <w:rPr>
          <w:b/>
          <w:sz w:val="28"/>
          <w:szCs w:val="28"/>
        </w:rPr>
        <w:t xml:space="preserve">Donna Haraway </w:t>
      </w:r>
    </w:p>
    <w:p w14:paraId="1C2ED632" w14:textId="77777777" w:rsidR="00F16B3D" w:rsidRDefault="00FD5513">
      <w:pPr>
        <w:rPr>
          <w:b/>
          <w:sz w:val="28"/>
          <w:szCs w:val="28"/>
        </w:rPr>
      </w:pPr>
      <w:r w:rsidRPr="00F16B3D">
        <w:rPr>
          <w:b/>
          <w:sz w:val="28"/>
          <w:szCs w:val="28"/>
        </w:rPr>
        <w:t xml:space="preserve">Staying with the Trouble: Making Kin in the </w:t>
      </w:r>
      <w:proofErr w:type="spellStart"/>
      <w:r w:rsidRPr="00F16B3D">
        <w:rPr>
          <w:b/>
          <w:sz w:val="28"/>
          <w:szCs w:val="28"/>
        </w:rPr>
        <w:t>Chthulucene</w:t>
      </w:r>
      <w:proofErr w:type="spellEnd"/>
      <w:r w:rsidR="003108C3" w:rsidRPr="00F16B3D">
        <w:rPr>
          <w:b/>
          <w:sz w:val="28"/>
          <w:szCs w:val="28"/>
        </w:rPr>
        <w:t xml:space="preserve"> </w:t>
      </w:r>
    </w:p>
    <w:p w14:paraId="5A148AA4" w14:textId="5C860306" w:rsidR="00FD5513" w:rsidRPr="00F16B3D" w:rsidRDefault="003108C3">
      <w:pPr>
        <w:rPr>
          <w:b/>
          <w:sz w:val="28"/>
          <w:szCs w:val="28"/>
        </w:rPr>
      </w:pPr>
      <w:r w:rsidRPr="00F16B3D">
        <w:rPr>
          <w:b/>
          <w:sz w:val="28"/>
          <w:szCs w:val="28"/>
        </w:rPr>
        <w:t>(Experimental Futures)</w:t>
      </w:r>
    </w:p>
    <w:p w14:paraId="1102F7C8" w14:textId="589917DF" w:rsidR="00FD5513" w:rsidRDefault="00FD5513">
      <w:pPr>
        <w:rPr>
          <w:b/>
        </w:rPr>
      </w:pPr>
    </w:p>
    <w:p w14:paraId="0435B595" w14:textId="77777777" w:rsidR="003035AA" w:rsidRDefault="003035AA">
      <w:pPr>
        <w:rPr>
          <w:b/>
        </w:rPr>
      </w:pPr>
    </w:p>
    <w:p w14:paraId="6D7A7A51" w14:textId="7CBA032D" w:rsidR="00FC5BF1" w:rsidRPr="00FD5513" w:rsidRDefault="00FC5BF1">
      <w:pPr>
        <w:rPr>
          <w:b/>
        </w:rPr>
      </w:pPr>
      <w:r>
        <w:rPr>
          <w:b/>
        </w:rPr>
        <w:t>Excerpt from the introduction:</w:t>
      </w:r>
    </w:p>
    <w:p w14:paraId="3A0D4096" w14:textId="3D74778B" w:rsidR="00FD5513" w:rsidRDefault="00FD5513" w:rsidP="00FD5513">
      <w:r>
        <w:t xml:space="preserve">‘Trouble is an interesting word. It derives from a thirteenth-century French verb meaning “to stir up,” “to make cloudy,” “to disturb.” We— all of us on Terra— live in disturbing times, mixed-up times, troubling and turbid times. The task is to become capable, with each other in all of our bumptious kinds, of response. Mixed-up times are overflowing with both pain and joy— with vastly unjust patterns of pain and joy, with unnecessary killing of </w:t>
      </w:r>
      <w:proofErr w:type="spellStart"/>
      <w:r>
        <w:t>ongoingness</w:t>
      </w:r>
      <w:proofErr w:type="spellEnd"/>
      <w:r>
        <w:t xml:space="preserve"> but also with necessary resurgence. The task is to make kin in lines of inventive connection as a practice of learning to live and die well with each other in a thick present. Our task is to make trouble, to stir up potent response to devastating events, as well as to settle troubled waters and rebuild quiet places. In urgent times, many of us are tempted to address trouble in terms of making an imagined future safe, of stopping something from happening that looms in the future, of clearing away the present and the past in order to make futures for coming generations. Staying with the trouble does not require such a relationship to times called the future. In fact, staying with the trouble requires learning to be truly present, not as a vanishing pivot between awful or </w:t>
      </w:r>
      <w:proofErr w:type="spellStart"/>
      <w:r>
        <w:t>edenic</w:t>
      </w:r>
      <w:proofErr w:type="spellEnd"/>
      <w:r>
        <w:t xml:space="preserve"> pasts and apocalyptic or salvific futures, but as mortal critters entwined in myriad unfinished configurations of places, times, matters, meanings.</w:t>
      </w:r>
      <w:r w:rsidR="00180E20" w:rsidRPr="003035AA">
        <w:rPr>
          <w:rStyle w:val="FootnoteReference"/>
        </w:rPr>
        <w:footnoteReference w:id="1"/>
      </w:r>
      <w:r>
        <w:t xml:space="preserve">” </w:t>
      </w:r>
      <w:r w:rsidR="002B6DBD" w:rsidRPr="003035AA">
        <w:rPr>
          <w:rStyle w:val="FootnoteReference"/>
        </w:rPr>
        <w:footnoteReference w:id="2"/>
      </w:r>
    </w:p>
    <w:p w14:paraId="159F6EDA" w14:textId="3AFBAD0E" w:rsidR="00FD5513" w:rsidRDefault="00FD5513" w:rsidP="00FD5513"/>
    <w:p w14:paraId="642ACA20" w14:textId="77777777" w:rsidR="003035AA" w:rsidRDefault="003035AA" w:rsidP="00FD5513">
      <w:bookmarkStart w:id="0" w:name="_GoBack"/>
      <w:bookmarkEnd w:id="0"/>
    </w:p>
    <w:p w14:paraId="26DF3877" w14:textId="4BDC0DE9" w:rsidR="00F16B3D" w:rsidRPr="00F16B3D" w:rsidRDefault="00FC5BF1" w:rsidP="00FD5513">
      <w:pPr>
        <w:rPr>
          <w:b/>
        </w:rPr>
      </w:pPr>
      <w:r w:rsidRPr="00F16B3D">
        <w:rPr>
          <w:b/>
        </w:rPr>
        <w:t xml:space="preserve">Excerpt from chapter </w:t>
      </w:r>
      <w:r w:rsidR="00F16B3D" w:rsidRPr="00F16B3D">
        <w:rPr>
          <w:b/>
        </w:rPr>
        <w:t xml:space="preserve">2, Tentacular Thinking: Anthropocene, Capitalocene, </w:t>
      </w:r>
      <w:proofErr w:type="spellStart"/>
      <w:r w:rsidR="00F16B3D" w:rsidRPr="00F16B3D">
        <w:rPr>
          <w:b/>
        </w:rPr>
        <w:t>Chuthulucene</w:t>
      </w:r>
      <w:proofErr w:type="spellEnd"/>
      <w:r w:rsidR="00F16B3D">
        <w:rPr>
          <w:b/>
        </w:rPr>
        <w:t>.</w:t>
      </w:r>
    </w:p>
    <w:p w14:paraId="492B4CA9" w14:textId="1CB19233" w:rsidR="004609ED" w:rsidRPr="00F16B3D" w:rsidRDefault="004609ED" w:rsidP="004609ED">
      <w:r w:rsidRPr="00F16B3D">
        <w:t xml:space="preserve">Ursula Le </w:t>
      </w:r>
      <w:proofErr w:type="spellStart"/>
      <w:r w:rsidRPr="00F16B3D">
        <w:t>Guin</w:t>
      </w:r>
      <w:proofErr w:type="spellEnd"/>
      <w:r w:rsidRPr="00F16B3D">
        <w:t xml:space="preserve"> taught me the carrier bag theory of storytelling and of </w:t>
      </w:r>
      <w:proofErr w:type="spellStart"/>
      <w:r w:rsidRPr="00F16B3D">
        <w:t>naturalcultural</w:t>
      </w:r>
      <w:proofErr w:type="spellEnd"/>
      <w:r w:rsidRPr="00F16B3D">
        <w:t xml:space="preserve"> history. Her theories, her stories, are capacious bags for collecting, carrying, and telling the stuff of living. “A leaf a gourd a shell a net a bag a sling a sack a bottle a pot a box a container. A holder. A recipient.”</w:t>
      </w:r>
      <w:r w:rsidR="002B6DBD" w:rsidRPr="003035AA">
        <w:rPr>
          <w:rStyle w:val="FootnoteReference"/>
        </w:rPr>
        <w:footnoteReference w:id="3"/>
      </w:r>
      <w:r w:rsidRPr="00F16B3D">
        <w:t xml:space="preserve"> So much of earth history has been told in the thrall of the fantasy of the first beautiful words and weapons, of the first beautiful weapons as words and vice versa. Tool, weapon, word: that is the word made flesh in the image of the sky god; that is the Anthropos. In a tragic story with only one real actor, one real </w:t>
      </w:r>
      <w:r w:rsidRPr="00F16B3D">
        <w:lastRenderedPageBreak/>
        <w:t xml:space="preserve">world-maker, the hero, this is the Man-making tale of the hunter on a quest to kill and bring back the terrible bounty. This is the cutting, sharp, combative tale of action that defers the suffering of glutinous, earth-rotted passivity beyond bearing. All others in the prick tale are props, ground, plot space, or prey. They don’t matter; their job is to be in the way, to be overcome, to be the road, the conduit, but not the </w:t>
      </w:r>
      <w:proofErr w:type="spellStart"/>
      <w:r w:rsidRPr="00F16B3D">
        <w:t>traveler</w:t>
      </w:r>
      <w:proofErr w:type="spellEnd"/>
      <w:r w:rsidRPr="00F16B3D">
        <w:t xml:space="preserve">, not the begetter. The last thing the hero wants to know is that his beautiful words and weapons will be worthless without a bag, a container, a net. Nonetheless, no adventurer should leave home without a sack. How did a sling, a pot, a bottle suddenly get in the story? How do such lowly things keep the story going? Or maybe even worse for the hero, how do </w:t>
      </w:r>
      <w:proofErr w:type="gramStart"/>
      <w:r w:rsidRPr="00F16B3D">
        <w:t>those concave</w:t>
      </w:r>
      <w:proofErr w:type="gramEnd"/>
      <w:r w:rsidRPr="00F16B3D">
        <w:t xml:space="preserve">, hollowed-out things, those holes in Being, from the get-go generate richer, quirkier, fuller, unfitting, ongoing stories, stories with room for the hunter but which weren’t and aren’t about him, the self-making human, the human-making machine of history? The slight curve of the shell that holds just a little water, just a few seeds to give away and to receive, suggests stories of becoming-with, of reciprocal induction, of companion species whose job in living and dying is not to end the storying, the worlding. With a shell and a net, becoming human, becoming humus, becoming </w:t>
      </w:r>
      <w:proofErr w:type="spellStart"/>
      <w:r w:rsidRPr="00F16B3D">
        <w:t>terran</w:t>
      </w:r>
      <w:proofErr w:type="spellEnd"/>
      <w:r w:rsidRPr="00F16B3D">
        <w:t xml:space="preserve">, has another shape— that is, the side-winding, snaky shape of becoming-with. To think-with is to stay with the </w:t>
      </w:r>
      <w:proofErr w:type="spellStart"/>
      <w:r w:rsidRPr="00F16B3D">
        <w:t>naturalcultural</w:t>
      </w:r>
      <w:proofErr w:type="spellEnd"/>
      <w:r w:rsidRPr="00F16B3D">
        <w:t xml:space="preserve"> multispecies trouble on earth. There are no guarantees, no arrow of time, no Law of History or Science or Nature in such struggles. There is only the relentlessly contingent SF worlding of living and dying, of becoming-with and unbecoming-with, of </w:t>
      </w:r>
      <w:proofErr w:type="spellStart"/>
      <w:r w:rsidRPr="00F16B3D">
        <w:t>sympoiesis</w:t>
      </w:r>
      <w:proofErr w:type="spellEnd"/>
      <w:r w:rsidRPr="00F16B3D">
        <w:t xml:space="preserve">, and so, just possibly, of multispecies flourishing on earth. Like Le </w:t>
      </w:r>
      <w:proofErr w:type="spellStart"/>
      <w:r w:rsidRPr="00F16B3D">
        <w:t>Guin</w:t>
      </w:r>
      <w:proofErr w:type="spellEnd"/>
      <w:r w:rsidRPr="00F16B3D">
        <w:t xml:space="preserve">, Bruno Latour passionately understands the need to change the story, to learn somehow to narrate— to think— outside the prick tale of Humans in History, when the knowledge of how to murder each other— and along with each other, uncountable multitudes of the living earth— is not scarce. Think we must; we must think. That means, simply, we must change the story; the story must change. Le </w:t>
      </w:r>
      <w:proofErr w:type="spellStart"/>
      <w:r w:rsidRPr="00F16B3D">
        <w:t>Guin</w:t>
      </w:r>
      <w:proofErr w:type="spellEnd"/>
      <w:r w:rsidRPr="00F16B3D">
        <w:t xml:space="preserve"> writes, “Hence it is with a certain feeling of urgency that I seek the nature, subject, words of the other story, the untold one, the life story.”</w:t>
      </w:r>
      <w:r w:rsidR="00FC5BF1" w:rsidRPr="003035AA">
        <w:rPr>
          <w:rStyle w:val="FootnoteReference"/>
        </w:rPr>
        <w:footnoteReference w:id="4"/>
      </w:r>
      <w:r w:rsidRPr="00F16B3D">
        <w:t xml:space="preserve"> In this terrible time called the Anthropocene, Latour argues that the fundamentals of geopolitics have been blasted open. None of the parties in crisis can call on Providence, History, Science, Progress, or any other god trick outside the common fray to resolve the troubles. A common </w:t>
      </w:r>
      <w:proofErr w:type="spellStart"/>
      <w:r w:rsidRPr="00F16B3D">
        <w:t>livable</w:t>
      </w:r>
      <w:proofErr w:type="spellEnd"/>
      <w:r w:rsidRPr="00F16B3D">
        <w:t xml:space="preserve"> world must be composed, bit by bit, or not at all. What used to be called nature has erupted into ordinary human affairs, and vice versa, in such a way and with such permanence as to change fundamentally means and prospects for going on, including going on at all. Searching for compositionist practices capable of building effective new collectives, Latour argues that we must learn to tell “</w:t>
      </w:r>
      <w:proofErr w:type="spellStart"/>
      <w:r w:rsidRPr="00F16B3D">
        <w:t>Gaïa</w:t>
      </w:r>
      <w:proofErr w:type="spellEnd"/>
      <w:r w:rsidRPr="00F16B3D">
        <w:t xml:space="preserve"> stories.” If that word is too hard, then we can call our narrations “</w:t>
      </w:r>
      <w:proofErr w:type="spellStart"/>
      <w:r w:rsidRPr="00F16B3D">
        <w:t>geostories</w:t>
      </w:r>
      <w:proofErr w:type="spellEnd"/>
      <w:r w:rsidRPr="00F16B3D">
        <w:t xml:space="preserve">,” in which “all the former props and passive agents have become active without, for that, being part of a giant plot written by </w:t>
      </w:r>
      <w:r w:rsidRPr="00F16B3D">
        <w:lastRenderedPageBreak/>
        <w:t>some overseeing entity.”</w:t>
      </w:r>
      <w:r w:rsidR="00FC5BF1" w:rsidRPr="003035AA">
        <w:rPr>
          <w:rStyle w:val="FootnoteReference"/>
        </w:rPr>
        <w:footnoteReference w:id="5"/>
      </w:r>
      <w:r w:rsidRPr="00F16B3D">
        <w:t xml:space="preserve"> Those who tell Gaia stories or </w:t>
      </w:r>
      <w:proofErr w:type="spellStart"/>
      <w:r w:rsidRPr="00F16B3D">
        <w:t>geostories</w:t>
      </w:r>
      <w:proofErr w:type="spellEnd"/>
      <w:r w:rsidRPr="00F16B3D">
        <w:t xml:space="preserve"> are the “Earthbound,” those who eschew the dubious pleasures of transcendent plots of modernity and the purifying division of society and nature. Latour argues that we face a stark divide: “Some are readying themselves to live as Earthbound in the Anthropocene; others decided to remain as Humans in the Holocene.”</w:t>
      </w:r>
      <w:r w:rsidR="002B6DBD" w:rsidRPr="003035AA">
        <w:rPr>
          <w:rStyle w:val="FootnoteReference"/>
        </w:rPr>
        <w:footnoteReference w:id="6"/>
      </w:r>
    </w:p>
    <w:p w14:paraId="1D28CCAF" w14:textId="77777777" w:rsidR="004609ED" w:rsidRPr="004609ED" w:rsidRDefault="004609ED" w:rsidP="004609ED">
      <w:pPr>
        <w:rPr>
          <w:b/>
        </w:rPr>
      </w:pPr>
    </w:p>
    <w:p w14:paraId="38B4B7FC" w14:textId="5E675900" w:rsidR="00414902" w:rsidRPr="004609ED" w:rsidRDefault="00221EB7" w:rsidP="004609ED">
      <w:pPr>
        <w:rPr>
          <w:b/>
        </w:rPr>
      </w:pPr>
    </w:p>
    <w:p w14:paraId="456E930F" w14:textId="77777777" w:rsidR="00F16B3D" w:rsidRPr="004609ED" w:rsidRDefault="00F16B3D">
      <w:pPr>
        <w:rPr>
          <w:b/>
        </w:rPr>
      </w:pPr>
    </w:p>
    <w:p w14:paraId="7E872259" w14:textId="77777777" w:rsidR="003035AA" w:rsidRPr="004609ED" w:rsidRDefault="003035AA">
      <w:pPr>
        <w:rPr>
          <w:b/>
        </w:rPr>
      </w:pPr>
    </w:p>
    <w:sectPr w:rsidR="003035AA" w:rsidRPr="004609ED" w:rsidSect="003035AA">
      <w:pgSz w:w="11900" w:h="16840"/>
      <w:pgMar w:top="1440" w:right="1985" w:bottom="1440" w:left="198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6CA1E9" w14:textId="77777777" w:rsidR="00221EB7" w:rsidRDefault="00221EB7" w:rsidP="00180E20">
      <w:r>
        <w:separator/>
      </w:r>
    </w:p>
  </w:endnote>
  <w:endnote w:type="continuationSeparator" w:id="0">
    <w:p w14:paraId="7C06F73E" w14:textId="77777777" w:rsidR="00221EB7" w:rsidRDefault="00221EB7" w:rsidP="00180E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AF3BBB" w14:textId="77777777" w:rsidR="00221EB7" w:rsidRDefault="00221EB7" w:rsidP="00180E20">
      <w:r>
        <w:separator/>
      </w:r>
    </w:p>
  </w:footnote>
  <w:footnote w:type="continuationSeparator" w:id="0">
    <w:p w14:paraId="5CBE7319" w14:textId="77777777" w:rsidR="00221EB7" w:rsidRDefault="00221EB7" w:rsidP="00180E20">
      <w:r>
        <w:continuationSeparator/>
      </w:r>
    </w:p>
  </w:footnote>
  <w:footnote w:id="1">
    <w:p w14:paraId="739E1E39" w14:textId="4EDD2616" w:rsidR="00180E20" w:rsidRPr="00180E20" w:rsidRDefault="00180E20">
      <w:pPr>
        <w:pStyle w:val="FootnoteText"/>
        <w:rPr>
          <w:lang w:val="en-AU"/>
        </w:rPr>
      </w:pPr>
      <w:r w:rsidRPr="003035AA">
        <w:rPr>
          <w:rStyle w:val="FootnoteReference"/>
        </w:rPr>
        <w:footnoteRef/>
      </w:r>
      <w:r w:rsidR="00FC5BF1">
        <w:t>[Haraway]</w:t>
      </w:r>
      <w:r>
        <w:t xml:space="preserve"> Critters is an American everyday idiom for varmints of all sorts. Scientists talk of their “critters” all the time; and </w:t>
      </w:r>
      <w:proofErr w:type="gramStart"/>
      <w:r>
        <w:t>so</w:t>
      </w:r>
      <w:proofErr w:type="gramEnd"/>
      <w:r>
        <w:t xml:space="preserve"> do ordinary people all over the U.S., but perhaps especially in the South. The taint of “creatures” and “creation” does not stick to “critters”; if you see such a semiotic barnacle, scrape it off. In this book, “critters” refers promiscuously to microbes, plants, animals, humans and nonhumans, and sometimes even to </w:t>
      </w:r>
      <w:r w:rsidR="00FC5BF1">
        <w:t xml:space="preserve">machines. </w:t>
      </w:r>
    </w:p>
  </w:footnote>
  <w:footnote w:id="2">
    <w:p w14:paraId="381AF579" w14:textId="51F2762F" w:rsidR="002B6DBD" w:rsidRPr="002B6DBD" w:rsidRDefault="002B6DBD">
      <w:pPr>
        <w:pStyle w:val="FootnoteText"/>
        <w:rPr>
          <w:lang w:val="en-AU"/>
        </w:rPr>
      </w:pPr>
      <w:r w:rsidRPr="003035AA">
        <w:rPr>
          <w:rStyle w:val="FootnoteReference"/>
        </w:rPr>
        <w:footnoteRef/>
      </w:r>
      <w:r>
        <w:t xml:space="preserve"> </w:t>
      </w:r>
      <w:r>
        <w:fldChar w:fldCharType="begin"/>
      </w:r>
      <w:r>
        <w:instrText xml:space="preserve"> ADDIN ZOTERO_ITEM CSL_CITATION {"citationID":"KPxsoV9F","properties":{"formattedCitation":"Donna Jeanne Haraway, {\\i{}Staying with the Trouble: Making Kin in the Chthulucene}, Experimental Futures Technological Lives, Scientific Arts, Anthropological Voices (Durham London: Duke University Press, 2016).","plainCitation":"Donna Jeanne Haraway, Staying with the Trouble: Making Kin in the Chthulucene, Experimental Futures Technological Lives, Scientific Arts, Anthropological Voices (Durham London: Duke University Press, 2016).","noteIndex":2},"citationItems":[{"id":97,"uris":["http://zotero.org/users/3823738/items/CHDHHKP2"],"uri":["http://zotero.org/users/3823738/items/CHDHHKP2"],"itemData":{"id":97,"type":"book","title":"Staying with the trouble: making kin in the Chthulucene","collection-title":"Experimental futures Technological lives, scientific arts, anthropological voices","publisher":"Duke University Press","publisher-place":"Durham London","number-of-pages":"296","source":"Gemeinsamer Bibliotheksverbund ISBN","event-place":"Durham London","ISBN":"978-0-8223-7378-0","note":"OCLC: 948657269","shortTitle":"Staying with the trouble","language":"eng","author":[{"family":"Haraway","given":"Donna Jeanne"}],"issued":{"date-parts":[["2016"]]}}}],"schema":"https://github.com/citation-style-language/schema/raw/master/csl-citation.json"} </w:instrText>
      </w:r>
      <w:r>
        <w:fldChar w:fldCharType="separate"/>
      </w:r>
      <w:r w:rsidRPr="002B6DBD">
        <w:rPr>
          <w:rFonts w:ascii="Calibri" w:cs="Calibri"/>
          <w:lang w:val="en-US"/>
        </w:rPr>
        <w:t xml:space="preserve">Donna Jeanne Haraway, </w:t>
      </w:r>
      <w:r w:rsidRPr="002B6DBD">
        <w:rPr>
          <w:rFonts w:ascii="Calibri" w:cs="Calibri"/>
          <w:i/>
          <w:iCs/>
          <w:lang w:val="en-US"/>
        </w:rPr>
        <w:t>Staying with the Trouble: Making Kin in the Chthulucene</w:t>
      </w:r>
      <w:r w:rsidRPr="002B6DBD">
        <w:rPr>
          <w:rFonts w:ascii="Calibri" w:cs="Calibri"/>
          <w:lang w:val="en-US"/>
        </w:rPr>
        <w:t>, Experimental Futures Technological Lives, Scientific Arts, Anthropological Voices (Durham London: Duke University Press, 2016).</w:t>
      </w:r>
      <w:r>
        <w:fldChar w:fldCharType="end"/>
      </w:r>
    </w:p>
  </w:footnote>
  <w:footnote w:id="3">
    <w:p w14:paraId="63796A95" w14:textId="0E7B69FC" w:rsidR="002B6DBD" w:rsidRDefault="002B6DBD" w:rsidP="002B6DBD">
      <w:pPr>
        <w:pStyle w:val="FootnoteText"/>
      </w:pPr>
      <w:r w:rsidRPr="003035AA">
        <w:rPr>
          <w:rStyle w:val="FootnoteReference"/>
        </w:rPr>
        <w:footnoteRef/>
      </w:r>
      <w:r>
        <w:t xml:space="preserve"> Le </w:t>
      </w:r>
      <w:proofErr w:type="spellStart"/>
      <w:r>
        <w:t>Guin</w:t>
      </w:r>
      <w:proofErr w:type="spellEnd"/>
      <w:r>
        <w:t xml:space="preserve">, “The Carrier Bag Theory,” 166. </w:t>
      </w:r>
      <w:r w:rsidR="00FC5BF1">
        <w:t>[Haraway]</w:t>
      </w:r>
    </w:p>
    <w:p w14:paraId="43FAC4A6" w14:textId="77777777" w:rsidR="002B6DBD" w:rsidRDefault="002B6DBD" w:rsidP="002B6DBD">
      <w:pPr>
        <w:pStyle w:val="FootnoteText"/>
      </w:pPr>
    </w:p>
    <w:p w14:paraId="2BB3AC1A" w14:textId="0656EB13" w:rsidR="002B6DBD" w:rsidRPr="002B6DBD" w:rsidRDefault="002B6DBD" w:rsidP="002B6DBD">
      <w:pPr>
        <w:pStyle w:val="FootnoteText"/>
        <w:rPr>
          <w:lang w:val="en-AU"/>
        </w:rPr>
      </w:pPr>
      <w:r>
        <w:t xml:space="preserve">Haraway, </w:t>
      </w:r>
      <w:proofErr w:type="gramStart"/>
      <w:r>
        <w:t>Donna  J..</w:t>
      </w:r>
      <w:proofErr w:type="gramEnd"/>
      <w:r>
        <w:t xml:space="preserve"> Staying with the Trouble: Making Kin in the </w:t>
      </w:r>
      <w:proofErr w:type="spellStart"/>
      <w:r>
        <w:t>Chthulucene</w:t>
      </w:r>
      <w:proofErr w:type="spellEnd"/>
      <w:r>
        <w:t xml:space="preserve"> (Experimental Futures) (pp. 177-178). Duke University Press. Kindle Edition.</w:t>
      </w:r>
    </w:p>
  </w:footnote>
  <w:footnote w:id="4">
    <w:p w14:paraId="1DA1B5AB" w14:textId="1DF507AA" w:rsidR="00FC5BF1" w:rsidRDefault="00FC5BF1" w:rsidP="00FC5BF1">
      <w:pPr>
        <w:pStyle w:val="FootnoteText"/>
      </w:pPr>
      <w:r w:rsidRPr="003035AA">
        <w:rPr>
          <w:rStyle w:val="FootnoteReference"/>
        </w:rPr>
        <w:footnoteRef/>
      </w:r>
      <w:r>
        <w:t xml:space="preserve"> Le </w:t>
      </w:r>
      <w:proofErr w:type="spellStart"/>
      <w:r>
        <w:t>Guin</w:t>
      </w:r>
      <w:proofErr w:type="spellEnd"/>
      <w:r>
        <w:t>, “The Carrier Bag Theory,” 169. [Haraway]</w:t>
      </w:r>
    </w:p>
    <w:p w14:paraId="5FC3200F" w14:textId="77777777" w:rsidR="00FC5BF1" w:rsidRDefault="00FC5BF1" w:rsidP="00FC5BF1">
      <w:pPr>
        <w:pStyle w:val="FootnoteText"/>
      </w:pPr>
    </w:p>
    <w:p w14:paraId="6DF78D21" w14:textId="150AE7B2" w:rsidR="00FC5BF1" w:rsidRPr="00FC5BF1" w:rsidRDefault="00FC5BF1" w:rsidP="00FC5BF1">
      <w:pPr>
        <w:pStyle w:val="FootnoteText"/>
        <w:rPr>
          <w:lang w:val="en-AU"/>
        </w:rPr>
      </w:pPr>
    </w:p>
  </w:footnote>
  <w:footnote w:id="5">
    <w:p w14:paraId="2BE26A30" w14:textId="77777777" w:rsidR="00FC5BF1" w:rsidRDefault="00FC5BF1" w:rsidP="00FC5BF1">
      <w:pPr>
        <w:pStyle w:val="FootnoteText"/>
      </w:pPr>
      <w:r w:rsidRPr="003035AA">
        <w:rPr>
          <w:rStyle w:val="FootnoteReference"/>
        </w:rPr>
        <w:footnoteRef/>
      </w:r>
      <w:r>
        <w:t xml:space="preserve"> Latour, Gifford Lectures, Lecture 3, “The Puzzling Face of a Secular </w:t>
      </w:r>
      <w:proofErr w:type="spellStart"/>
      <w:r>
        <w:t>Gaïa</w:t>
      </w:r>
      <w:proofErr w:type="spellEnd"/>
      <w:r>
        <w:t>.” Quotation from lecture manuscript.</w:t>
      </w:r>
    </w:p>
    <w:p w14:paraId="28109093" w14:textId="77777777" w:rsidR="00FC5BF1" w:rsidRDefault="00FC5BF1" w:rsidP="00FC5BF1">
      <w:pPr>
        <w:pStyle w:val="FootnoteText"/>
      </w:pPr>
    </w:p>
    <w:p w14:paraId="634277BB" w14:textId="1E8728C7" w:rsidR="00FC5BF1" w:rsidRPr="00FC5BF1" w:rsidRDefault="00FC5BF1" w:rsidP="00FC5BF1">
      <w:pPr>
        <w:pStyle w:val="FootnoteText"/>
        <w:rPr>
          <w:lang w:val="en-AU"/>
        </w:rPr>
      </w:pPr>
      <w:r>
        <w:t xml:space="preserve">Haraway, </w:t>
      </w:r>
      <w:proofErr w:type="gramStart"/>
      <w:r>
        <w:t>Donna  J..</w:t>
      </w:r>
      <w:proofErr w:type="gramEnd"/>
      <w:r>
        <w:t xml:space="preserve"> Staying with the Trouble: Making Kin in the </w:t>
      </w:r>
      <w:proofErr w:type="spellStart"/>
      <w:r>
        <w:t>Chthulucene</w:t>
      </w:r>
      <w:proofErr w:type="spellEnd"/>
      <w:r>
        <w:t xml:space="preserve"> (Experimental Futures) (p. 178). Duke University Press. Kindle Edition.</w:t>
      </w:r>
    </w:p>
  </w:footnote>
  <w:footnote w:id="6">
    <w:p w14:paraId="421B8879" w14:textId="620390E4" w:rsidR="002B6DBD" w:rsidRPr="002B6DBD" w:rsidRDefault="002B6DBD">
      <w:pPr>
        <w:pStyle w:val="FootnoteText"/>
        <w:rPr>
          <w:lang w:val="en-AU"/>
        </w:rPr>
      </w:pPr>
      <w:r w:rsidRPr="003035AA">
        <w:rPr>
          <w:rStyle w:val="FootnoteReference"/>
        </w:rPr>
        <w:footnoteRef/>
      </w:r>
      <w:r>
        <w:t xml:space="preserve"> </w:t>
      </w:r>
      <w:r>
        <w:fldChar w:fldCharType="begin"/>
      </w:r>
      <w:r>
        <w:instrText xml:space="preserve"> ADDIN ZOTERO_ITEM CSL_CITATION {"citationID":"mepYLo5z","properties":{"formattedCitation":"Haraway, 39\\uc0\\u8211{}41.","plainCitation":"Haraway, 39–41.","noteIndex":3},"citationItems":[{"id":97,"uris":["http://zotero.org/users/3823738/items/CHDHHKP2"],"uri":["http://zotero.org/users/3823738/items/CHDHHKP2"],"itemData":{"id":97,"type":"book","title":"Staying with the trouble: making kin in the Chthulucene","collection-title":"Experimental futures Technological lives, scientific arts, anthropological voices","publisher":"Duke University Press","publisher-place":"Durham London","number-of-pages":"296","source":"Gemeinsamer Bibliotheksverbund ISBN","event-place":"Durham London","ISBN":"978-0-8223-7378-0","note":"OCLC: 948657269","shortTitle":"Staying with the trouble","language":"eng","author":[{"family":"Haraway","given":"Donna Jeanne"}],"issued":{"date-parts":[["2016"]]}},"locator":"39-41","label":"page"}],"schema":"https://github.com/citation-style-language/schema/raw/master/csl-citation.json"} </w:instrText>
      </w:r>
      <w:r>
        <w:fldChar w:fldCharType="separate"/>
      </w:r>
      <w:r w:rsidRPr="002B6DBD">
        <w:rPr>
          <w:rFonts w:ascii="Calibri" w:cs="Calibri"/>
          <w:lang w:val="en-US"/>
        </w:rPr>
        <w:t>Haraway, 39–41.</w:t>
      </w:r>
      <w:r>
        <w:fldChar w:fldCharType="end"/>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629F"/>
    <w:rsid w:val="00054379"/>
    <w:rsid w:val="000776F8"/>
    <w:rsid w:val="001114CA"/>
    <w:rsid w:val="00180E20"/>
    <w:rsid w:val="00221EB7"/>
    <w:rsid w:val="002B6DBD"/>
    <w:rsid w:val="003035AA"/>
    <w:rsid w:val="003108C3"/>
    <w:rsid w:val="004609ED"/>
    <w:rsid w:val="005D29F1"/>
    <w:rsid w:val="008D152E"/>
    <w:rsid w:val="0093110C"/>
    <w:rsid w:val="00AF76C7"/>
    <w:rsid w:val="00B91BFE"/>
    <w:rsid w:val="00C2222E"/>
    <w:rsid w:val="00EC629F"/>
    <w:rsid w:val="00F16B3D"/>
    <w:rsid w:val="00FC5BF1"/>
    <w:rsid w:val="00FD55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DCF5E1"/>
  <w14:defaultImageDpi w14:val="32767"/>
  <w15:chartTrackingRefBased/>
  <w15:docId w15:val="{8CBA7D51-C57B-7645-B008-815B33F833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54379"/>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JSfav">
    <w:name w:val="JS fav"/>
    <w:basedOn w:val="Heading1"/>
    <w:next w:val="Normal"/>
    <w:autoRedefine/>
    <w:qFormat/>
    <w:rsid w:val="00054379"/>
    <w:pPr>
      <w:jc w:val="both"/>
    </w:pPr>
    <w:rPr>
      <w:rFonts w:asciiTheme="minorHAnsi" w:eastAsiaTheme="minorEastAsia" w:hAnsiTheme="minorHAnsi" w:cstheme="minorBidi"/>
      <w:color w:val="5B9BD5" w:themeColor="accent5"/>
      <w:sz w:val="22"/>
      <w:szCs w:val="20"/>
    </w:rPr>
  </w:style>
  <w:style w:type="character" w:customStyle="1" w:styleId="Heading1Char">
    <w:name w:val="Heading 1 Char"/>
    <w:basedOn w:val="DefaultParagraphFont"/>
    <w:link w:val="Heading1"/>
    <w:uiPriority w:val="9"/>
    <w:rsid w:val="00054379"/>
    <w:rPr>
      <w:rFonts w:asciiTheme="majorHAnsi" w:eastAsiaTheme="majorEastAsia" w:hAnsiTheme="majorHAnsi" w:cstheme="majorBidi"/>
      <w:color w:val="2F5496" w:themeColor="accent1" w:themeShade="BF"/>
      <w:sz w:val="32"/>
      <w:szCs w:val="32"/>
    </w:rPr>
  </w:style>
  <w:style w:type="paragraph" w:styleId="FootnoteText">
    <w:name w:val="footnote text"/>
    <w:basedOn w:val="Normal"/>
    <w:link w:val="FootnoteTextChar"/>
    <w:uiPriority w:val="99"/>
    <w:semiHidden/>
    <w:unhideWhenUsed/>
    <w:rsid w:val="00180E20"/>
    <w:rPr>
      <w:sz w:val="20"/>
      <w:szCs w:val="20"/>
    </w:rPr>
  </w:style>
  <w:style w:type="character" w:customStyle="1" w:styleId="FootnoteTextChar">
    <w:name w:val="Footnote Text Char"/>
    <w:basedOn w:val="DefaultParagraphFont"/>
    <w:link w:val="FootnoteText"/>
    <w:uiPriority w:val="99"/>
    <w:semiHidden/>
    <w:rsid w:val="00180E20"/>
    <w:rPr>
      <w:sz w:val="20"/>
      <w:szCs w:val="20"/>
    </w:rPr>
  </w:style>
  <w:style w:type="character" w:styleId="FootnoteReference">
    <w:name w:val="footnote reference"/>
    <w:basedOn w:val="DefaultParagraphFont"/>
    <w:uiPriority w:val="99"/>
    <w:semiHidden/>
    <w:unhideWhenUsed/>
    <w:rsid w:val="00180E20"/>
    <w:rPr>
      <w:vertAlign w:val="superscript"/>
    </w:rPr>
  </w:style>
  <w:style w:type="character" w:styleId="EndnoteReference">
    <w:name w:val="endnote reference"/>
    <w:basedOn w:val="DefaultParagraphFont"/>
    <w:uiPriority w:val="99"/>
    <w:semiHidden/>
    <w:unhideWhenUsed/>
    <w:rsid w:val="003035A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3</Pages>
  <Words>885</Words>
  <Characters>5051</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 Sorensen</dc:creator>
  <cp:keywords/>
  <dc:description/>
  <cp:lastModifiedBy>Jill Sorensen</cp:lastModifiedBy>
  <cp:revision>3</cp:revision>
  <cp:lastPrinted>2018-11-07T03:16:00Z</cp:lastPrinted>
  <dcterms:created xsi:type="dcterms:W3CDTF">2018-11-04T02:26:00Z</dcterms:created>
  <dcterms:modified xsi:type="dcterms:W3CDTF">2018-11-07T03:39:00Z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zotero-version="5.0.57"&gt;&lt;session id="5R1JPmYE"/&gt;&lt;style id="http://www.zotero.org/styles/chicago-fullnote-bibliography" locale="en-GB" hasBibliography="1" bibliographyStyleHasBeenSet="0"/&gt;&lt;prefs&gt;&lt;pref name="fieldType" value="Field"/&gt;</vt:lpwstr>
  </property>
  <property fmtid="{D5CDD505-2E9C-101B-9397-08002B2CF9AE}" pid="3" name="ZOTERO_PREF_2">
    <vt:lpwstr>&lt;pref name="automaticJournalAbbreviations" value="true"/&gt;&lt;pref name="noteType" value="1"/&gt;&lt;/prefs&gt;&lt;/data&gt;</vt:lpwstr>
  </property>
</Properties>
</file>